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before="0" w:line="240" w:lineRule="auto"/>
        <w:rPr>
          <w:rFonts w:ascii="Inter" w:cs="Inter" w:eastAsia="Inter" w:hAnsi="Inter"/>
          <w:color w:val="666666"/>
          <w:sz w:val="20"/>
          <w:szCs w:val="20"/>
        </w:rPr>
      </w:pPr>
      <w:r w:rsidDel="00000000" w:rsidR="00000000" w:rsidRPr="00000000">
        <w:rPr>
          <w:rtl w:val="0"/>
        </w:rPr>
      </w:r>
    </w:p>
    <w:p w:rsidR="00000000" w:rsidDel="00000000" w:rsidP="00000000" w:rsidRDefault="00000000" w:rsidRPr="00000000" w14:paraId="00000002">
      <w:pPr>
        <w:pStyle w:val="Title"/>
        <w:rPr/>
      </w:pPr>
      <w:bookmarkStart w:colFirst="0" w:colLast="0" w:name="_dnk57b1hdlq8" w:id="0"/>
      <w:bookmarkEnd w:id="0"/>
      <w:r w:rsidDel="00000000" w:rsidR="00000000" w:rsidRPr="00000000">
        <w:rPr>
          <w:rtl w:val="0"/>
        </w:rPr>
        <w:t xml:space="preserve">Positive noCRM</w:t>
      </w:r>
    </w:p>
    <w:p w:rsidR="00000000" w:rsidDel="00000000" w:rsidP="00000000" w:rsidRDefault="00000000" w:rsidRPr="00000000" w14:paraId="00000003">
      <w:pPr>
        <w:pStyle w:val="Title"/>
        <w:rPr>
          <w:sz w:val="28"/>
          <w:szCs w:val="28"/>
        </w:rPr>
      </w:pPr>
      <w:bookmarkStart w:colFirst="0" w:colLast="0" w:name="_l76ptdjpkyne" w:id="1"/>
      <w:bookmarkEnd w:id="1"/>
      <w:r w:rsidDel="00000000" w:rsidR="00000000" w:rsidRPr="00000000">
        <w:rPr>
          <w:sz w:val="28"/>
          <w:szCs w:val="28"/>
          <w:rtl w:val="0"/>
        </w:rPr>
        <w:t xml:space="preserve">Turning sales interactions into connections.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rtl w:val="0"/>
        </w:rPr>
        <w:t xml:space="preserve">EN </w:t>
      </w:r>
      <w:r w:rsidDel="00000000" w:rsidR="00000000" w:rsidRPr="00000000">
        <w:rPr>
          <w:rtl w:val="0"/>
        </w:rPr>
        <w:t xml:space="preserve">- Positive noCRM turns sales interactions into connections. It empowers salespeople to capture, prioritise and convert leads by keeping the focus on the next action that moves deals forward. A Positive solution.</w:t>
      </w:r>
    </w:p>
    <w:p w:rsidR="00000000" w:rsidDel="00000000" w:rsidP="00000000" w:rsidRDefault="00000000" w:rsidRPr="00000000" w14:paraId="00000006">
      <w:pPr>
        <w:rPr/>
      </w:pPr>
      <w:r w:rsidDel="00000000" w:rsidR="00000000" w:rsidRPr="00000000">
        <w:rPr>
          <w:b w:val="1"/>
          <w:bCs w:val="1"/>
          <w:rtl w:val="0"/>
        </w:rPr>
        <w:t xml:space="preserve">FR</w:t>
      </w:r>
      <w:r w:rsidDel="00000000" w:rsidR="00000000" w:rsidRPr="00000000">
        <w:rPr>
          <w:rtl w:val="0"/>
        </w:rPr>
        <w:t xml:space="preserve"> - Positive noCRM transforme les interactions commerciales en vraies relations. Il permet aux commerciaux de capturer, prioriser et convertir leurs leads en gardant le focus sur la prochaine action qui fait avancer les deals. Une solution Positive.</w:t>
      </w:r>
    </w:p>
    <w:p w:rsidR="00000000" w:rsidDel="00000000" w:rsidP="00000000" w:rsidRDefault="00000000" w:rsidRPr="00000000" w14:paraId="00000007">
      <w:pPr>
        <w:rPr/>
      </w:pPr>
      <w:r w:rsidDel="00000000" w:rsidR="00000000" w:rsidRPr="00000000">
        <w:rPr>
          <w:b w:val="1"/>
          <w:bCs w:val="1"/>
          <w:rtl w:val="0"/>
        </w:rPr>
        <w:t xml:space="preserve">ITA </w:t>
      </w:r>
      <w:r w:rsidDel="00000000" w:rsidR="00000000" w:rsidRPr="00000000">
        <w:rPr>
          <w:rtl w:val="0"/>
        </w:rPr>
        <w:t xml:space="preserve">- Positive noCRM semplifica la gestione delle opportunità di vendita. Consente ai team commerciali di acquisire, prioritizzare e convertire i lead concentrandosi sulle azioni che generano risultati, senza la complessità dei CRM tradizionali. Una soluzione Positive.</w:t>
      </w:r>
    </w:p>
    <w:p w:rsidR="00000000" w:rsidDel="00000000" w:rsidP="00000000" w:rsidRDefault="00000000" w:rsidRPr="00000000" w14:paraId="00000008">
      <w:pPr>
        <w:rPr/>
      </w:pPr>
      <w:r w:rsidDel="00000000" w:rsidR="00000000" w:rsidRPr="00000000">
        <w:rPr>
          <w:b w:val="1"/>
          <w:bCs w:val="1"/>
          <w:rtl w:val="0"/>
        </w:rPr>
        <w:t xml:space="preserve">DE </w:t>
      </w:r>
      <w:r w:rsidDel="00000000" w:rsidR="00000000" w:rsidRPr="00000000">
        <w:rPr>
          <w:rtl w:val="0"/>
        </w:rPr>
        <w:t xml:space="preserve">- Positive noCRM verwandelt Vertriebskontakte in echte Verbindungen. Es befähigt Vertriebsmitarbeitende, Leads zu erfassen, zu priorisieren und zu konvertieren — mit dem Fokus auf der nächsten Aktion, die Deals voranbringt. Eine Positive-Lösung.</w:t>
      </w:r>
    </w:p>
    <w:p w:rsidR="00000000" w:rsidDel="00000000" w:rsidP="00000000" w:rsidRDefault="00000000" w:rsidRPr="00000000" w14:paraId="00000009">
      <w:pPr>
        <w:rPr/>
      </w:pPr>
      <w:r w:rsidDel="00000000" w:rsidR="00000000" w:rsidRPr="00000000">
        <w:rPr>
          <w:b w:val="1"/>
          <w:bCs w:val="1"/>
          <w:rtl w:val="0"/>
        </w:rPr>
        <w:t xml:space="preserve">PL </w:t>
      </w:r>
      <w:r w:rsidDel="00000000" w:rsidR="00000000" w:rsidRPr="00000000">
        <w:rPr>
          <w:rtl w:val="0"/>
        </w:rPr>
        <w:t xml:space="preserve">- Positive noCRM zamienia interakcje sprzedażowe w trwałe relacje. Pozwala handlowcom na efektywne pozyskiwanie, priorytetyzowanie i konwertowanie leadów, skupiając się na kolejnym działaniu przybliżającym do zamknięcia sprzedaży. Rozwiązanie Positive.</w:t>
      </w:r>
    </w:p>
    <w:p w:rsidR="00000000" w:rsidDel="00000000" w:rsidP="00000000" w:rsidRDefault="00000000" w:rsidRPr="00000000" w14:paraId="0000000A">
      <w:pPr>
        <w:rPr>
          <w:rFonts w:ascii="Inter" w:cs="Inter" w:eastAsia="Inter" w:hAnsi="Inter"/>
        </w:rPr>
      </w:pPr>
      <w:r w:rsidDel="00000000" w:rsidR="00000000" w:rsidRPr="00000000">
        <w:rPr>
          <w:rtl w:val="0"/>
        </w:rPr>
      </w:r>
    </w:p>
    <w:sectPr>
      <w:headerReference r:id="rId6" w:type="default"/>
      <w:headerReference r:id="rId7" w:type="first"/>
      <w:footerReference r:id="rId8" w:type="first"/>
      <w:footerReference r:id="rId9" w:type="default"/>
      <w:pgSz w:h="15840" w:w="12240" w:orient="portrait"/>
      <w:pgMar w:bottom="1080" w:top="1080" w:left="1440" w:right="1440" w:header="396.85039370078744"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rPr>
        <w:color w:val="474747"/>
        <w:sz w:val="14"/>
        <w:szCs w:val="14"/>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rPr>
        <w:color w:val="474747"/>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1778452" cy="269462"/>
          <wp:effectExtent b="0" l="0" r="0" t="0"/>
          <wp:docPr id="1" name="image1.png"/>
          <a:graphic>
            <a:graphicData uri="http://schemas.openxmlformats.org/drawingml/2006/picture">
              <pic:pic>
                <pic:nvPicPr>
                  <pic:cNvPr id="0" name="image1.png"/>
                  <pic:cNvPicPr preferRelativeResize="0"/>
                </pic:nvPicPr>
                <pic:blipFill>
                  <a:blip r:embed="rId1"/>
                  <a:srcRect b="0" l="-1804" r="-2070" t="0"/>
                  <a:stretch>
                    <a:fillRect/>
                  </a:stretch>
                </pic:blipFill>
                <pic:spPr>
                  <a:xfrm>
                    <a:off x="0" y="0"/>
                    <a:ext cx="1778452" cy="26946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Inter" w:cs="Inter" w:eastAsia="Inter" w:hAnsi="Inter"/>
        <w:sz w:val="22"/>
        <w:szCs w:val="22"/>
        <w:lang w:val="fr"/>
      </w:rPr>
    </w:rPrDefault>
    <w:pPrDefault>
      <w:pPr>
        <w:spacing w:before="200" w:line="335.99999999999994" w:lineRule="auto"/>
        <w:ind w:left="-15" w:firstLine="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0" w:lineRule="auto"/>
      <w:ind w:left="0" w:firstLine="0"/>
    </w:pPr>
    <w:rPr>
      <w:b w:val="1"/>
      <w:bCs w:val="1"/>
      <w:color w:val="ff5b49"/>
      <w:sz w:val="40"/>
      <w:szCs w:val="40"/>
    </w:rPr>
  </w:style>
  <w:style w:type="paragraph" w:styleId="Heading2">
    <w:name w:val="heading 2"/>
    <w:basedOn w:val="Normal"/>
    <w:next w:val="Normal"/>
    <w:pPr>
      <w:pageBreakBefore w:val="0"/>
    </w:pPr>
    <w:rPr>
      <w:sz w:val="42"/>
      <w:szCs w:val="42"/>
    </w:rPr>
  </w:style>
  <w:style w:type="paragraph" w:styleId="Heading3">
    <w:name w:val="heading 3"/>
    <w:basedOn w:val="Normal"/>
    <w:next w:val="Normal"/>
    <w:pPr>
      <w:pageBreakBefore w:val="0"/>
      <w:spacing w:line="240" w:lineRule="auto"/>
    </w:pPr>
    <w:rPr>
      <w:sz w:val="32"/>
      <w:szCs w:val="32"/>
    </w:rPr>
  </w:style>
  <w:style w:type="paragraph" w:styleId="Heading4">
    <w:name w:val="heading 4"/>
    <w:basedOn w:val="Normal"/>
    <w:next w:val="Normal"/>
    <w:pPr>
      <w:spacing w:before="720" w:lineRule="auto"/>
    </w:pPr>
    <w:rPr>
      <w:b w:val="1"/>
      <w:bCs w:val="1"/>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iCs w:val="1"/>
      <w:color w:val="666666"/>
      <w:sz w:val="22"/>
      <w:szCs w:val="22"/>
    </w:rPr>
  </w:style>
  <w:style w:type="paragraph" w:styleId="Title">
    <w:name w:val="Title"/>
    <w:basedOn w:val="Normal"/>
    <w:next w:val="Normal"/>
    <w:pPr>
      <w:spacing w:before="0" w:lineRule="auto"/>
      <w:ind w:left="0" w:firstLine="0"/>
    </w:pPr>
    <w:rPr>
      <w:color w:val="ff5b49"/>
      <w:sz w:val="40"/>
      <w:szCs w:val="40"/>
    </w:rPr>
  </w:style>
  <w:style w:type="paragraph" w:styleId="Subtitle">
    <w:name w:val="Subtitle"/>
    <w:basedOn w:val="Normal"/>
    <w:next w:val="Normal"/>
    <w:pPr>
      <w:pageBreakBefore w:val="0"/>
      <w:widowControl w:val="0"/>
      <w:spacing w:before="0" w:line="240" w:lineRule="auto"/>
    </w:pPr>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